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C81" w:rsidRDefault="00450C81" w:rsidP="00707F1C">
      <w:pPr>
        <w:spacing w:after="0" w:line="240" w:lineRule="auto"/>
        <w:rPr>
          <w:rFonts w:ascii="Verdana" w:eastAsia="Times New Roman" w:hAnsi="Verdana" w:cs="Times New Roman"/>
          <w:b/>
          <w:bCs/>
          <w:sz w:val="20"/>
          <w:u w:val="single"/>
          <w:lang w:eastAsia="es-ES"/>
        </w:rPr>
      </w:pPr>
      <w:r>
        <w:rPr>
          <w:rFonts w:ascii="Verdana" w:eastAsia="Times New Roman" w:hAnsi="Verdana" w:cs="Times New Roman"/>
          <w:b/>
          <w:bCs/>
          <w:sz w:val="20"/>
          <w:u w:val="single"/>
          <w:lang w:eastAsia="es-ES"/>
        </w:rPr>
        <w:t>CONTENIDO de la CARPETA</w:t>
      </w:r>
    </w:p>
    <w:p w:rsidR="007B43F9" w:rsidRDefault="007B43F9" w:rsidP="00707F1C">
      <w:pPr>
        <w:spacing w:after="0" w:line="240" w:lineRule="auto"/>
        <w:rPr>
          <w:rFonts w:ascii="Verdana" w:eastAsia="Times New Roman" w:hAnsi="Verdana" w:cs="Times New Roman"/>
          <w:b/>
          <w:bCs/>
          <w:sz w:val="20"/>
          <w:u w:val="single"/>
          <w:lang w:eastAsia="es-ES"/>
        </w:rPr>
      </w:pPr>
    </w:p>
    <w:p w:rsidR="007B43F9" w:rsidRDefault="007B43F9" w:rsidP="007B43F9">
      <w:pPr>
        <w:spacing w:after="0" w:line="240" w:lineRule="auto"/>
        <w:jc w:val="both"/>
        <w:rPr>
          <w:rFonts w:ascii="Verdana" w:eastAsia="Times New Roman" w:hAnsi="Verdana" w:cs="Times New Roman"/>
          <w:sz w:val="20"/>
          <w:szCs w:val="20"/>
          <w:lang w:eastAsia="es-ES"/>
        </w:rPr>
      </w:pPr>
      <w:r>
        <w:rPr>
          <w:rFonts w:ascii="Verdana" w:eastAsia="Times New Roman" w:hAnsi="Verdana" w:cs="Times New Roman"/>
          <w:sz w:val="20"/>
          <w:szCs w:val="20"/>
          <w:lang w:eastAsia="es-ES"/>
        </w:rPr>
        <w:t xml:space="preserve">- </w:t>
      </w:r>
      <w:r>
        <w:rPr>
          <w:rFonts w:ascii="Verdana" w:eastAsia="Times New Roman" w:hAnsi="Verdana" w:cs="Times New Roman"/>
          <w:b/>
          <w:bCs/>
          <w:sz w:val="20"/>
          <w:lang w:eastAsia="es-ES"/>
        </w:rPr>
        <w:t>Documento clasificación de pérdidas (reales y aparentes).</w:t>
      </w:r>
    </w:p>
    <w:p w:rsidR="007B43F9" w:rsidRDefault="007B43F9" w:rsidP="007B43F9">
      <w:pPr>
        <w:spacing w:after="0" w:line="240" w:lineRule="auto"/>
        <w:jc w:val="both"/>
        <w:rPr>
          <w:rFonts w:ascii="Verdana" w:eastAsia="Times New Roman" w:hAnsi="Verdana" w:cs="Times New Roman"/>
          <w:sz w:val="20"/>
          <w:szCs w:val="20"/>
          <w:lang w:eastAsia="es-ES"/>
        </w:rPr>
      </w:pPr>
      <w:r>
        <w:rPr>
          <w:rFonts w:ascii="Verdana" w:eastAsia="Times New Roman" w:hAnsi="Verdana" w:cs="Times New Roman"/>
          <w:sz w:val="20"/>
          <w:szCs w:val="20"/>
          <w:lang w:eastAsia="es-ES"/>
        </w:rPr>
        <w:t xml:space="preserve">- </w:t>
      </w:r>
      <w:r>
        <w:rPr>
          <w:rFonts w:ascii="Verdana" w:eastAsia="Times New Roman" w:hAnsi="Verdana" w:cs="Times New Roman"/>
          <w:b/>
          <w:bCs/>
          <w:sz w:val="20"/>
          <w:szCs w:val="20"/>
          <w:lang w:eastAsia="es-ES"/>
        </w:rPr>
        <w:t>Manual del Programa Balance de Agua, en el cual se definen los conceptos necesarios para entender los cuadros de balance (Definición de Sector, componentes del cuadro de balance, definición de indicadores, etc.).</w:t>
      </w:r>
      <w:r>
        <w:rPr>
          <w:rFonts w:ascii="Verdana" w:eastAsia="Times New Roman" w:hAnsi="Verdana" w:cs="Times New Roman"/>
          <w:sz w:val="20"/>
          <w:szCs w:val="20"/>
          <w:lang w:eastAsia="es-ES"/>
        </w:rPr>
        <w:br/>
      </w:r>
      <w:r>
        <w:rPr>
          <w:rFonts w:ascii="Verdana" w:eastAsia="Times New Roman" w:hAnsi="Verdana" w:cs="Times New Roman"/>
          <w:b/>
          <w:bCs/>
          <w:sz w:val="20"/>
          <w:szCs w:val="20"/>
          <w:lang w:eastAsia="es-ES"/>
        </w:rPr>
        <w:t xml:space="preserve">- Plan de Acción RANC- resumen, </w:t>
      </w:r>
      <w:r>
        <w:rPr>
          <w:rFonts w:ascii="Verdana" w:eastAsia="Times New Roman" w:hAnsi="Verdana" w:cs="Times New Roman"/>
          <w:sz w:val="20"/>
          <w:szCs w:val="20"/>
          <w:lang w:eastAsia="es-ES"/>
        </w:rPr>
        <w:t>que fuera aprobado en el año 2010 y describe los Objetivos del Programa RANC en general (para tener una idea de lo que propone el Plan).</w:t>
      </w:r>
      <w:r>
        <w:rPr>
          <w:rFonts w:ascii="Verdana" w:eastAsia="Times New Roman" w:hAnsi="Verdana" w:cs="Times New Roman"/>
          <w:sz w:val="20"/>
          <w:szCs w:val="20"/>
          <w:lang w:eastAsia="es-ES"/>
        </w:rPr>
        <w:br/>
      </w:r>
      <w:r>
        <w:rPr>
          <w:rFonts w:ascii="Verdana" w:eastAsia="Times New Roman" w:hAnsi="Verdana" w:cs="Times New Roman"/>
          <w:b/>
          <w:bCs/>
          <w:sz w:val="20"/>
          <w:u w:val="single"/>
          <w:lang w:eastAsia="es-ES"/>
        </w:rPr>
        <w:t>Salto :</w:t>
      </w:r>
    </w:p>
    <w:p w:rsidR="007B43F9" w:rsidRDefault="007B43F9" w:rsidP="007B43F9">
      <w:pPr>
        <w:spacing w:after="0" w:line="240" w:lineRule="auto"/>
        <w:jc w:val="both"/>
        <w:rPr>
          <w:rFonts w:ascii="Verdana" w:eastAsia="Times New Roman" w:hAnsi="Verdana" w:cs="Times New Roman"/>
          <w:sz w:val="20"/>
          <w:szCs w:val="20"/>
          <w:lang w:eastAsia="es-ES"/>
        </w:rPr>
      </w:pPr>
      <w:r>
        <w:rPr>
          <w:rFonts w:ascii="Verdana" w:eastAsia="Times New Roman" w:hAnsi="Verdana" w:cs="Times New Roman"/>
          <w:sz w:val="20"/>
          <w:szCs w:val="20"/>
          <w:lang w:eastAsia="es-ES"/>
        </w:rPr>
        <w:t xml:space="preserve">- Captura de pantalla del Programa PBA en la </w:t>
      </w:r>
      <w:r>
        <w:rPr>
          <w:rFonts w:ascii="Verdana" w:eastAsia="Times New Roman" w:hAnsi="Verdana" w:cs="Times New Roman"/>
          <w:sz w:val="20"/>
          <w:szCs w:val="20"/>
          <w:u w:val="single"/>
          <w:lang w:eastAsia="es-ES"/>
        </w:rPr>
        <w:t>que se destaca la fecha hasta cuando el Programa Balance de Agua tiene carga de facturación completa</w:t>
      </w:r>
      <w:r>
        <w:rPr>
          <w:rFonts w:ascii="Verdana" w:eastAsia="Times New Roman" w:hAnsi="Verdana" w:cs="Times New Roman"/>
          <w:sz w:val="20"/>
          <w:szCs w:val="20"/>
          <w:lang w:eastAsia="es-ES"/>
        </w:rPr>
        <w:t xml:space="preserve"> (en este caso Abril 2017 ) y el Servicio Salto con sus Sectores. </w:t>
      </w:r>
    </w:p>
    <w:p w:rsidR="007B43F9" w:rsidRDefault="007B43F9" w:rsidP="007B43F9">
      <w:pPr>
        <w:spacing w:after="0" w:line="240" w:lineRule="auto"/>
        <w:jc w:val="both"/>
        <w:rPr>
          <w:rFonts w:ascii="Verdana" w:eastAsia="Times New Roman" w:hAnsi="Verdana" w:cs="Times New Roman"/>
          <w:sz w:val="20"/>
          <w:szCs w:val="20"/>
          <w:lang w:eastAsia="es-ES"/>
        </w:rPr>
      </w:pPr>
      <w:r>
        <w:rPr>
          <w:rFonts w:ascii="Verdana" w:eastAsia="Times New Roman" w:hAnsi="Verdana" w:cs="Times New Roman"/>
          <w:sz w:val="20"/>
          <w:szCs w:val="20"/>
          <w:lang w:eastAsia="es-ES"/>
        </w:rPr>
        <w:t xml:space="preserve">- Cuadro de Balance de Agua común y Cuadro de Balance Desglosado de la </w:t>
      </w:r>
      <w:r>
        <w:rPr>
          <w:rFonts w:ascii="Verdana" w:eastAsia="Times New Roman" w:hAnsi="Verdana" w:cs="Times New Roman"/>
          <w:b/>
          <w:bCs/>
          <w:sz w:val="20"/>
          <w:lang w:eastAsia="es-ES"/>
        </w:rPr>
        <w:t>Sección Salto </w:t>
      </w:r>
      <w:r>
        <w:rPr>
          <w:rFonts w:ascii="Verdana" w:eastAsia="Times New Roman" w:hAnsi="Verdana" w:cs="Times New Roman"/>
          <w:sz w:val="20"/>
          <w:szCs w:val="20"/>
          <w:lang w:eastAsia="es-ES"/>
        </w:rPr>
        <w:t>(que incluye todos los Servicios del Depto de Salto),correspondientes al último año móvil Mayo 2016- Abril  2017  (</w:t>
      </w:r>
      <w:r>
        <w:rPr>
          <w:rFonts w:ascii="Verdana" w:eastAsia="Times New Roman" w:hAnsi="Verdana" w:cs="Times New Roman"/>
          <w:sz w:val="20"/>
          <w:szCs w:val="20"/>
          <w:u w:val="single"/>
          <w:lang w:eastAsia="es-ES"/>
        </w:rPr>
        <w:t>en los cuadros desglosado se discrimina el agua facturada en: domiciliaria, gobierno, comercio, etc</w:t>
      </w:r>
      <w:r>
        <w:rPr>
          <w:rFonts w:ascii="Verdana" w:eastAsia="Times New Roman" w:hAnsi="Verdana" w:cs="Times New Roman"/>
          <w:sz w:val="20"/>
          <w:szCs w:val="20"/>
          <w:lang w:eastAsia="es-ES"/>
        </w:rPr>
        <w:t xml:space="preserve">.). </w:t>
      </w:r>
    </w:p>
    <w:p w:rsidR="007B43F9" w:rsidRDefault="007B43F9" w:rsidP="007B43F9">
      <w:pPr>
        <w:spacing w:after="0" w:line="240" w:lineRule="auto"/>
        <w:jc w:val="both"/>
        <w:rPr>
          <w:rFonts w:ascii="Verdana" w:eastAsia="Times New Roman" w:hAnsi="Verdana" w:cs="Times New Roman"/>
          <w:sz w:val="20"/>
          <w:szCs w:val="20"/>
          <w:lang w:eastAsia="es-ES"/>
        </w:rPr>
      </w:pPr>
      <w:r>
        <w:rPr>
          <w:rFonts w:ascii="Verdana" w:eastAsia="Times New Roman" w:hAnsi="Verdana" w:cs="Times New Roman"/>
          <w:sz w:val="20"/>
          <w:szCs w:val="20"/>
          <w:lang w:eastAsia="es-ES"/>
        </w:rPr>
        <w:t xml:space="preserve">- Cuadros de Balance común y desglosado del </w:t>
      </w:r>
      <w:r>
        <w:rPr>
          <w:rFonts w:ascii="Verdana" w:eastAsia="Times New Roman" w:hAnsi="Verdana" w:cs="Times New Roman"/>
          <w:b/>
          <w:bCs/>
          <w:sz w:val="20"/>
          <w:lang w:eastAsia="es-ES"/>
        </w:rPr>
        <w:t>Servicio Salto </w:t>
      </w:r>
      <w:r>
        <w:rPr>
          <w:rFonts w:ascii="Verdana" w:eastAsia="Times New Roman" w:hAnsi="Verdana" w:cs="Times New Roman"/>
          <w:sz w:val="20"/>
          <w:szCs w:val="20"/>
          <w:lang w:eastAsia="es-ES"/>
        </w:rPr>
        <w:t>(que incluye a todos los Sectores de la ciudad de Salto )</w:t>
      </w:r>
      <w:r>
        <w:rPr>
          <w:rFonts w:ascii="Verdana" w:eastAsia="Times New Roman" w:hAnsi="Verdana" w:cs="Times New Roman"/>
          <w:b/>
          <w:bCs/>
          <w:sz w:val="20"/>
          <w:lang w:eastAsia="es-ES"/>
        </w:rPr>
        <w:t xml:space="preserve">  </w:t>
      </w:r>
      <w:r>
        <w:rPr>
          <w:rFonts w:ascii="Verdana" w:eastAsia="Times New Roman" w:hAnsi="Verdana" w:cs="Times New Roman"/>
          <w:sz w:val="20"/>
          <w:szCs w:val="20"/>
          <w:lang w:eastAsia="es-ES"/>
        </w:rPr>
        <w:t>correspondientes al último año  mencionado (Enero- Diciembre 2016).</w:t>
      </w:r>
      <w:r>
        <w:rPr>
          <w:rFonts w:ascii="Verdana" w:eastAsia="Times New Roman" w:hAnsi="Verdana" w:cs="Times New Roman"/>
          <w:sz w:val="20"/>
          <w:szCs w:val="20"/>
          <w:lang w:eastAsia="es-ES"/>
        </w:rPr>
        <w:br/>
        <w:t xml:space="preserve">- Gráfica de agua disponible-agua facturada , de la </w:t>
      </w:r>
      <w:r>
        <w:rPr>
          <w:rFonts w:ascii="Verdana" w:eastAsia="Times New Roman" w:hAnsi="Verdana" w:cs="Times New Roman"/>
          <w:b/>
          <w:bCs/>
          <w:sz w:val="20"/>
          <w:lang w:eastAsia="es-ES"/>
        </w:rPr>
        <w:t xml:space="preserve">Sección Salto </w:t>
      </w:r>
      <w:r>
        <w:rPr>
          <w:rFonts w:ascii="Verdana" w:eastAsia="Times New Roman" w:hAnsi="Verdana" w:cs="Times New Roman"/>
          <w:sz w:val="20"/>
          <w:szCs w:val="20"/>
          <w:lang w:eastAsia="es-ES"/>
        </w:rPr>
        <w:t>, correspondientes al último año móvil Mayo - Abril 2017.</w:t>
      </w:r>
    </w:p>
    <w:p w:rsidR="007B43F9" w:rsidRDefault="007B43F9" w:rsidP="007B43F9">
      <w:pPr>
        <w:spacing w:after="0" w:line="240" w:lineRule="auto"/>
        <w:jc w:val="both"/>
        <w:rPr>
          <w:rFonts w:ascii="Verdana" w:eastAsia="Times New Roman" w:hAnsi="Verdana" w:cs="Times New Roman"/>
          <w:sz w:val="20"/>
          <w:szCs w:val="20"/>
          <w:lang w:eastAsia="es-ES"/>
        </w:rPr>
      </w:pPr>
      <w:r>
        <w:rPr>
          <w:rFonts w:ascii="Verdana" w:eastAsia="Times New Roman" w:hAnsi="Verdana" w:cs="Times New Roman"/>
          <w:sz w:val="20"/>
          <w:szCs w:val="20"/>
          <w:lang w:eastAsia="es-ES"/>
        </w:rPr>
        <w:t> -Gráfica de agua disponible-agua facturada , del </w:t>
      </w:r>
      <w:r>
        <w:rPr>
          <w:rFonts w:ascii="Verdana" w:eastAsia="Times New Roman" w:hAnsi="Verdana" w:cs="Times New Roman"/>
          <w:b/>
          <w:bCs/>
          <w:sz w:val="20"/>
          <w:lang w:eastAsia="es-ES"/>
        </w:rPr>
        <w:t>Servicio Salto ,</w:t>
      </w:r>
      <w:r>
        <w:rPr>
          <w:rFonts w:ascii="Verdana" w:eastAsia="Times New Roman" w:hAnsi="Verdana" w:cs="Times New Roman"/>
          <w:sz w:val="20"/>
          <w:szCs w:val="20"/>
          <w:lang w:eastAsia="es-ES"/>
        </w:rPr>
        <w:t xml:space="preserve"> correspondientes al último año móvil Mayo 2016 - Abril 2017. </w:t>
      </w:r>
    </w:p>
    <w:p w:rsidR="00450C81" w:rsidRDefault="00450C81" w:rsidP="00707F1C">
      <w:pPr>
        <w:spacing w:after="0" w:line="240" w:lineRule="auto"/>
        <w:rPr>
          <w:rFonts w:ascii="Verdana" w:eastAsia="Times New Roman" w:hAnsi="Verdana" w:cs="Times New Roman"/>
          <w:b/>
          <w:bCs/>
          <w:sz w:val="20"/>
          <w:u w:val="single"/>
          <w:lang w:eastAsia="es-ES"/>
        </w:rPr>
      </w:pPr>
    </w:p>
    <w:p w:rsidR="00707F1C" w:rsidRDefault="00707F1C" w:rsidP="00707F1C">
      <w:pPr>
        <w:spacing w:after="0" w:line="240" w:lineRule="auto"/>
        <w:rPr>
          <w:rFonts w:ascii="Verdana" w:eastAsia="Times New Roman" w:hAnsi="Verdana" w:cs="Times New Roman"/>
          <w:sz w:val="20"/>
          <w:szCs w:val="20"/>
          <w:lang w:eastAsia="es-ES"/>
        </w:rPr>
      </w:pPr>
      <w:r w:rsidRPr="00707F1C">
        <w:rPr>
          <w:rFonts w:ascii="Verdana" w:eastAsia="Times New Roman" w:hAnsi="Verdana" w:cs="Times New Roman"/>
          <w:b/>
          <w:bCs/>
          <w:sz w:val="20"/>
          <w:u w:val="single"/>
          <w:lang w:eastAsia="es-ES"/>
        </w:rPr>
        <w:t>Paysandú :</w:t>
      </w:r>
      <w:r w:rsidRPr="00707F1C">
        <w:rPr>
          <w:rFonts w:ascii="Verdana" w:eastAsia="Times New Roman" w:hAnsi="Verdana" w:cs="Times New Roman"/>
          <w:sz w:val="20"/>
          <w:szCs w:val="20"/>
          <w:lang w:eastAsia="es-ES"/>
        </w:rPr>
        <w:t xml:space="preserve"> </w:t>
      </w:r>
    </w:p>
    <w:p w:rsidR="00450C81" w:rsidRPr="00707F1C" w:rsidRDefault="00450C81" w:rsidP="00707F1C">
      <w:pPr>
        <w:spacing w:after="0" w:line="240" w:lineRule="auto"/>
        <w:rPr>
          <w:rFonts w:ascii="Verdana" w:eastAsia="Times New Roman" w:hAnsi="Verdana" w:cs="Times New Roman"/>
          <w:sz w:val="20"/>
          <w:szCs w:val="20"/>
          <w:lang w:eastAsia="es-ES"/>
        </w:rPr>
      </w:pP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xml:space="preserve">- Captura de pantalla del Programa PBA en la </w:t>
      </w:r>
      <w:r w:rsidRPr="00707F1C">
        <w:rPr>
          <w:rFonts w:ascii="Verdana" w:eastAsia="Times New Roman" w:hAnsi="Verdana" w:cs="Times New Roman"/>
          <w:sz w:val="20"/>
          <w:szCs w:val="20"/>
          <w:u w:val="single"/>
          <w:lang w:eastAsia="es-ES"/>
        </w:rPr>
        <w:t>que se destaca la fecha hasta cuando el Programa Balance de Agua tiene carga de facturación completa</w:t>
      </w:r>
      <w:r w:rsidRPr="00707F1C">
        <w:rPr>
          <w:rFonts w:ascii="Verdana" w:eastAsia="Times New Roman" w:hAnsi="Verdana" w:cs="Times New Roman"/>
          <w:sz w:val="20"/>
          <w:szCs w:val="20"/>
          <w:lang w:eastAsia="es-ES"/>
        </w:rPr>
        <w:t xml:space="preserve"> (en este caso Abril 2017 ) y el Servicio Paysandú con sus Sectores.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xml:space="preserve">- Cuadro de Balance de Agua común y Cuadro de Balance Desglosado de la </w:t>
      </w:r>
      <w:r w:rsidRPr="00707F1C">
        <w:rPr>
          <w:rFonts w:ascii="Verdana" w:eastAsia="Times New Roman" w:hAnsi="Verdana" w:cs="Times New Roman"/>
          <w:b/>
          <w:bCs/>
          <w:sz w:val="20"/>
          <w:lang w:eastAsia="es-ES"/>
        </w:rPr>
        <w:t>Sección Paysandú  </w:t>
      </w:r>
      <w:r w:rsidRPr="00707F1C">
        <w:rPr>
          <w:rFonts w:ascii="Verdana" w:eastAsia="Times New Roman" w:hAnsi="Verdana" w:cs="Times New Roman"/>
          <w:sz w:val="20"/>
          <w:szCs w:val="20"/>
          <w:lang w:eastAsia="es-ES"/>
        </w:rPr>
        <w:t>(que incluye todos los Servicios del Depto de  Paysandú),correspondientes al último año móvil Mayo 2016- Abril  2017  (</w:t>
      </w:r>
      <w:r w:rsidRPr="00707F1C">
        <w:rPr>
          <w:rFonts w:ascii="Verdana" w:eastAsia="Times New Roman" w:hAnsi="Verdana" w:cs="Times New Roman"/>
          <w:sz w:val="20"/>
          <w:szCs w:val="20"/>
          <w:u w:val="single"/>
          <w:lang w:eastAsia="es-ES"/>
        </w:rPr>
        <w:t>en los cuadros desglosado se discrimina el agua facturada en: domiciliaria, gobierno, comercio, etc</w:t>
      </w:r>
      <w:r w:rsidRPr="00707F1C">
        <w:rPr>
          <w:rFonts w:ascii="Verdana" w:eastAsia="Times New Roman" w:hAnsi="Verdana" w:cs="Times New Roman"/>
          <w:sz w:val="20"/>
          <w:szCs w:val="20"/>
          <w:lang w:eastAsia="es-ES"/>
        </w:rPr>
        <w:t xml:space="preserve">.).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xml:space="preserve">- Cuadros de Balance común y desglosado del </w:t>
      </w:r>
      <w:r w:rsidRPr="00707F1C">
        <w:rPr>
          <w:rFonts w:ascii="Verdana" w:eastAsia="Times New Roman" w:hAnsi="Verdana" w:cs="Times New Roman"/>
          <w:b/>
          <w:bCs/>
          <w:sz w:val="20"/>
          <w:lang w:eastAsia="es-ES"/>
        </w:rPr>
        <w:t>Servicio Paysandú </w:t>
      </w:r>
      <w:r w:rsidRPr="00707F1C">
        <w:rPr>
          <w:rFonts w:ascii="Verdana" w:eastAsia="Times New Roman" w:hAnsi="Verdana" w:cs="Times New Roman"/>
          <w:sz w:val="20"/>
          <w:szCs w:val="20"/>
          <w:lang w:eastAsia="es-ES"/>
        </w:rPr>
        <w:t>(que incluye a todos los Sectores de la ciudad de Paysandú )</w:t>
      </w:r>
      <w:r w:rsidRPr="00707F1C">
        <w:rPr>
          <w:rFonts w:ascii="Verdana" w:eastAsia="Times New Roman" w:hAnsi="Verdana" w:cs="Times New Roman"/>
          <w:b/>
          <w:bCs/>
          <w:sz w:val="20"/>
          <w:lang w:eastAsia="es-ES"/>
        </w:rPr>
        <w:t xml:space="preserve">  </w:t>
      </w:r>
      <w:r w:rsidRPr="00707F1C">
        <w:rPr>
          <w:rFonts w:ascii="Verdana" w:eastAsia="Times New Roman" w:hAnsi="Verdana" w:cs="Times New Roman"/>
          <w:sz w:val="20"/>
          <w:szCs w:val="20"/>
          <w:lang w:eastAsia="es-ES"/>
        </w:rPr>
        <w:t>correspondientes al último año  mencionado (Enero- Diciembre 2016).</w:t>
      </w:r>
      <w:r w:rsidRPr="00707F1C">
        <w:rPr>
          <w:rFonts w:ascii="Verdana" w:eastAsia="Times New Roman" w:hAnsi="Verdana" w:cs="Times New Roman"/>
          <w:sz w:val="20"/>
          <w:szCs w:val="20"/>
          <w:lang w:eastAsia="es-ES"/>
        </w:rPr>
        <w:br/>
        <w:t xml:space="preserve">- Gráfica de agua disponible-agua facturada , de la </w:t>
      </w:r>
      <w:r w:rsidRPr="00707F1C">
        <w:rPr>
          <w:rFonts w:ascii="Verdana" w:eastAsia="Times New Roman" w:hAnsi="Verdana" w:cs="Times New Roman"/>
          <w:b/>
          <w:bCs/>
          <w:sz w:val="20"/>
          <w:lang w:eastAsia="es-ES"/>
        </w:rPr>
        <w:t xml:space="preserve">Sección Paysandú </w:t>
      </w:r>
      <w:r w:rsidRPr="00707F1C">
        <w:rPr>
          <w:rFonts w:ascii="Verdana" w:eastAsia="Times New Roman" w:hAnsi="Verdana" w:cs="Times New Roman"/>
          <w:sz w:val="20"/>
          <w:szCs w:val="20"/>
          <w:lang w:eastAsia="es-ES"/>
        </w:rPr>
        <w:t>, correspondientes al último año móvil Mayo - Abril 2017.</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-Gráfica de agua disponible-agua facturada , del </w:t>
      </w:r>
      <w:r w:rsidRPr="00707F1C">
        <w:rPr>
          <w:rFonts w:ascii="Verdana" w:eastAsia="Times New Roman" w:hAnsi="Verdana" w:cs="Times New Roman"/>
          <w:b/>
          <w:bCs/>
          <w:sz w:val="20"/>
          <w:lang w:eastAsia="es-ES"/>
        </w:rPr>
        <w:t>Servicio Paysandú ,</w:t>
      </w:r>
      <w:r w:rsidRPr="00707F1C">
        <w:rPr>
          <w:rFonts w:ascii="Verdana" w:eastAsia="Times New Roman" w:hAnsi="Verdana" w:cs="Times New Roman"/>
          <w:sz w:val="20"/>
          <w:szCs w:val="20"/>
          <w:lang w:eastAsia="es-ES"/>
        </w:rPr>
        <w:t xml:space="preserve"> correspondientes al último año móvil Mayo 2016 - Abril 2017.</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b/>
          <w:bCs/>
          <w:sz w:val="20"/>
          <w:u w:val="single"/>
          <w:lang w:eastAsia="es-ES"/>
        </w:rPr>
        <w:t>San José :</w:t>
      </w:r>
      <w:r w:rsidRPr="00707F1C">
        <w:rPr>
          <w:rFonts w:ascii="Verdana" w:eastAsia="Times New Roman" w:hAnsi="Verdana" w:cs="Times New Roman"/>
          <w:sz w:val="20"/>
          <w:szCs w:val="20"/>
          <w:lang w:eastAsia="es-ES"/>
        </w:rPr>
        <w:t xml:space="preserve">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xml:space="preserve">- Captura de pantalla del Programa PBA en la </w:t>
      </w:r>
      <w:r w:rsidRPr="00707F1C">
        <w:rPr>
          <w:rFonts w:ascii="Verdana" w:eastAsia="Times New Roman" w:hAnsi="Verdana" w:cs="Times New Roman"/>
          <w:sz w:val="20"/>
          <w:szCs w:val="20"/>
          <w:u w:val="single"/>
          <w:lang w:eastAsia="es-ES"/>
        </w:rPr>
        <w:t>que se destaca la fecha hasta cuando el Programa Balance de Agua tiene carga de facturación completa</w:t>
      </w:r>
      <w:r w:rsidRPr="00707F1C">
        <w:rPr>
          <w:rFonts w:ascii="Verdana" w:eastAsia="Times New Roman" w:hAnsi="Verdana" w:cs="Times New Roman"/>
          <w:sz w:val="20"/>
          <w:szCs w:val="20"/>
          <w:lang w:eastAsia="es-ES"/>
        </w:rPr>
        <w:t xml:space="preserve"> (en este caso Abril 2017 ) y el Servicio San José  con sus Sectores.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xml:space="preserve">- Cuadro de Balance de Agua común y Cuadro de Balance Desglosado de la </w:t>
      </w:r>
      <w:r w:rsidRPr="00707F1C">
        <w:rPr>
          <w:rFonts w:ascii="Verdana" w:eastAsia="Times New Roman" w:hAnsi="Verdana" w:cs="Times New Roman"/>
          <w:b/>
          <w:bCs/>
          <w:sz w:val="20"/>
          <w:lang w:eastAsia="es-ES"/>
        </w:rPr>
        <w:t>Sección San José </w:t>
      </w:r>
      <w:r w:rsidRPr="00707F1C">
        <w:rPr>
          <w:rFonts w:ascii="Verdana" w:eastAsia="Times New Roman" w:hAnsi="Verdana" w:cs="Times New Roman"/>
          <w:sz w:val="20"/>
          <w:szCs w:val="20"/>
          <w:lang w:eastAsia="es-ES"/>
        </w:rPr>
        <w:t>(que incluye todos los Servicios del Depto de  San José),correspondientes al último año móvil Mayo 2016- Abril  2017  (</w:t>
      </w:r>
      <w:r w:rsidRPr="00707F1C">
        <w:rPr>
          <w:rFonts w:ascii="Verdana" w:eastAsia="Times New Roman" w:hAnsi="Verdana" w:cs="Times New Roman"/>
          <w:sz w:val="20"/>
          <w:szCs w:val="20"/>
          <w:u w:val="single"/>
          <w:lang w:eastAsia="es-ES"/>
        </w:rPr>
        <w:t>en los cuadros desglosado se discrimina el agua facturada en: domiciliaria, gobierno, comercio, etc</w:t>
      </w:r>
      <w:r w:rsidRPr="00707F1C">
        <w:rPr>
          <w:rFonts w:ascii="Verdana" w:eastAsia="Times New Roman" w:hAnsi="Verdana" w:cs="Times New Roman"/>
          <w:sz w:val="20"/>
          <w:szCs w:val="20"/>
          <w:lang w:eastAsia="es-ES"/>
        </w:rPr>
        <w:t xml:space="preserve">.).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xml:space="preserve">- Cuadros de Balance común y desglosado del </w:t>
      </w:r>
      <w:r w:rsidRPr="00707F1C">
        <w:rPr>
          <w:rFonts w:ascii="Verdana" w:eastAsia="Times New Roman" w:hAnsi="Verdana" w:cs="Times New Roman"/>
          <w:b/>
          <w:bCs/>
          <w:sz w:val="20"/>
          <w:lang w:eastAsia="es-ES"/>
        </w:rPr>
        <w:t>Servicio San José </w:t>
      </w:r>
      <w:r w:rsidRPr="00707F1C">
        <w:rPr>
          <w:rFonts w:ascii="Verdana" w:eastAsia="Times New Roman" w:hAnsi="Verdana" w:cs="Times New Roman"/>
          <w:sz w:val="20"/>
          <w:szCs w:val="20"/>
          <w:lang w:eastAsia="es-ES"/>
        </w:rPr>
        <w:t>(que incluye a todos los Sectores de la ciudad de San José )</w:t>
      </w:r>
      <w:r w:rsidRPr="00707F1C">
        <w:rPr>
          <w:rFonts w:ascii="Verdana" w:eastAsia="Times New Roman" w:hAnsi="Verdana" w:cs="Times New Roman"/>
          <w:b/>
          <w:bCs/>
          <w:sz w:val="20"/>
          <w:lang w:eastAsia="es-ES"/>
        </w:rPr>
        <w:t xml:space="preserve">  </w:t>
      </w:r>
      <w:r w:rsidRPr="00707F1C">
        <w:rPr>
          <w:rFonts w:ascii="Verdana" w:eastAsia="Times New Roman" w:hAnsi="Verdana" w:cs="Times New Roman"/>
          <w:sz w:val="20"/>
          <w:szCs w:val="20"/>
          <w:lang w:eastAsia="es-ES"/>
        </w:rPr>
        <w:t>correspondientes al último año  mencionado (Enero- Diciembre 2016).</w:t>
      </w:r>
      <w:r w:rsidRPr="00707F1C">
        <w:rPr>
          <w:rFonts w:ascii="Verdana" w:eastAsia="Times New Roman" w:hAnsi="Verdana" w:cs="Times New Roman"/>
          <w:sz w:val="20"/>
          <w:szCs w:val="20"/>
          <w:lang w:eastAsia="es-ES"/>
        </w:rPr>
        <w:br/>
      </w:r>
      <w:r w:rsidRPr="00707F1C">
        <w:rPr>
          <w:rFonts w:ascii="Verdana" w:eastAsia="Times New Roman" w:hAnsi="Verdana" w:cs="Times New Roman"/>
          <w:sz w:val="20"/>
          <w:szCs w:val="20"/>
          <w:lang w:eastAsia="es-ES"/>
        </w:rPr>
        <w:lastRenderedPageBreak/>
        <w:t xml:space="preserve">- Gráfica de agua disponible-agua facturada , de la </w:t>
      </w:r>
      <w:r w:rsidRPr="00707F1C">
        <w:rPr>
          <w:rFonts w:ascii="Verdana" w:eastAsia="Times New Roman" w:hAnsi="Verdana" w:cs="Times New Roman"/>
          <w:b/>
          <w:bCs/>
          <w:sz w:val="20"/>
          <w:lang w:eastAsia="es-ES"/>
        </w:rPr>
        <w:t>Sección San José </w:t>
      </w:r>
      <w:r w:rsidRPr="00707F1C">
        <w:rPr>
          <w:rFonts w:ascii="Verdana" w:eastAsia="Times New Roman" w:hAnsi="Verdana" w:cs="Times New Roman"/>
          <w:sz w:val="20"/>
          <w:szCs w:val="20"/>
          <w:lang w:eastAsia="es-ES"/>
        </w:rPr>
        <w:t>, correspondientes al último año móvil Mayo - Abril 2017.</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-Gráfica de agua disponible-agua facturada , del </w:t>
      </w:r>
      <w:r w:rsidRPr="00707F1C">
        <w:rPr>
          <w:rFonts w:ascii="Verdana" w:eastAsia="Times New Roman" w:hAnsi="Verdana" w:cs="Times New Roman"/>
          <w:b/>
          <w:bCs/>
          <w:sz w:val="20"/>
          <w:lang w:eastAsia="es-ES"/>
        </w:rPr>
        <w:t>Servicio San José ,</w:t>
      </w:r>
      <w:r w:rsidRPr="00707F1C">
        <w:rPr>
          <w:rFonts w:ascii="Verdana" w:eastAsia="Times New Roman" w:hAnsi="Verdana" w:cs="Times New Roman"/>
          <w:sz w:val="20"/>
          <w:szCs w:val="20"/>
          <w:lang w:eastAsia="es-ES"/>
        </w:rPr>
        <w:t xml:space="preserve"> correspondientes al último año móvil Mayo 2016 - Abril 2017.</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b/>
          <w:bCs/>
          <w:sz w:val="20"/>
          <w:u w:val="single"/>
          <w:lang w:eastAsia="es-ES"/>
        </w:rPr>
        <w:t>Tacuarembó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xml:space="preserve">- Captura de pantalla del Programa PBA en la </w:t>
      </w:r>
      <w:r w:rsidRPr="00707F1C">
        <w:rPr>
          <w:rFonts w:ascii="Verdana" w:eastAsia="Times New Roman" w:hAnsi="Verdana" w:cs="Times New Roman"/>
          <w:sz w:val="20"/>
          <w:szCs w:val="20"/>
          <w:u w:val="single"/>
          <w:lang w:eastAsia="es-ES"/>
        </w:rPr>
        <w:t>que se destaca la fecha hasta cuando el Programa Balance de Agua tiene carga de facturación completa</w:t>
      </w:r>
      <w:r w:rsidRPr="00707F1C">
        <w:rPr>
          <w:rFonts w:ascii="Verdana" w:eastAsia="Times New Roman" w:hAnsi="Verdana" w:cs="Times New Roman"/>
          <w:sz w:val="20"/>
          <w:szCs w:val="20"/>
          <w:lang w:eastAsia="es-ES"/>
        </w:rPr>
        <w:t xml:space="preserve"> (en este caso Abril 2017 ) y el Servicio Tacuarembó con sus Sectores.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xml:space="preserve">- Cuadro de Balance de Agua común y Cuadro de Balance Desglosado de la </w:t>
      </w:r>
      <w:r w:rsidRPr="00707F1C">
        <w:rPr>
          <w:rFonts w:ascii="Verdana" w:eastAsia="Times New Roman" w:hAnsi="Verdana" w:cs="Times New Roman"/>
          <w:b/>
          <w:bCs/>
          <w:sz w:val="20"/>
          <w:lang w:eastAsia="es-ES"/>
        </w:rPr>
        <w:t>Sección Tacuarembó </w:t>
      </w:r>
      <w:r w:rsidRPr="00707F1C">
        <w:rPr>
          <w:rFonts w:ascii="Verdana" w:eastAsia="Times New Roman" w:hAnsi="Verdana" w:cs="Times New Roman"/>
          <w:sz w:val="20"/>
          <w:szCs w:val="20"/>
          <w:lang w:eastAsia="es-ES"/>
        </w:rPr>
        <w:t>(que incluye todos los Servicios del Depto de  Tacuarembó),correspondientes al último año móvil Mayo 2016- Abril  2017  (</w:t>
      </w:r>
      <w:r w:rsidRPr="00707F1C">
        <w:rPr>
          <w:rFonts w:ascii="Verdana" w:eastAsia="Times New Roman" w:hAnsi="Verdana" w:cs="Times New Roman"/>
          <w:sz w:val="20"/>
          <w:szCs w:val="20"/>
          <w:u w:val="single"/>
          <w:lang w:eastAsia="es-ES"/>
        </w:rPr>
        <w:t>en los cuadros desglosado se discrimina el agua facturada en: domiciliaria, gobierno, comercio, etc</w:t>
      </w:r>
      <w:r w:rsidRPr="00707F1C">
        <w:rPr>
          <w:rFonts w:ascii="Verdana" w:eastAsia="Times New Roman" w:hAnsi="Verdana" w:cs="Times New Roman"/>
          <w:sz w:val="20"/>
          <w:szCs w:val="20"/>
          <w:lang w:eastAsia="es-ES"/>
        </w:rPr>
        <w:t xml:space="preserve">.).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xml:space="preserve">- Cuadros de Balance común y desglosado del </w:t>
      </w:r>
      <w:r w:rsidRPr="00707F1C">
        <w:rPr>
          <w:rFonts w:ascii="Verdana" w:eastAsia="Times New Roman" w:hAnsi="Verdana" w:cs="Times New Roman"/>
          <w:b/>
          <w:bCs/>
          <w:sz w:val="20"/>
          <w:lang w:eastAsia="es-ES"/>
        </w:rPr>
        <w:t>Servicio Tacuarembó </w:t>
      </w:r>
      <w:r w:rsidRPr="00707F1C">
        <w:rPr>
          <w:rFonts w:ascii="Verdana" w:eastAsia="Times New Roman" w:hAnsi="Verdana" w:cs="Times New Roman"/>
          <w:sz w:val="20"/>
          <w:szCs w:val="20"/>
          <w:lang w:eastAsia="es-ES"/>
        </w:rPr>
        <w:t>(que incluye a todos los Sectores de la ciudad de Tacuarembó )</w:t>
      </w:r>
      <w:r w:rsidRPr="00707F1C">
        <w:rPr>
          <w:rFonts w:ascii="Verdana" w:eastAsia="Times New Roman" w:hAnsi="Verdana" w:cs="Times New Roman"/>
          <w:b/>
          <w:bCs/>
          <w:sz w:val="20"/>
          <w:lang w:eastAsia="es-ES"/>
        </w:rPr>
        <w:t xml:space="preserve">  </w:t>
      </w:r>
      <w:r w:rsidRPr="00707F1C">
        <w:rPr>
          <w:rFonts w:ascii="Verdana" w:eastAsia="Times New Roman" w:hAnsi="Verdana" w:cs="Times New Roman"/>
          <w:sz w:val="20"/>
          <w:szCs w:val="20"/>
          <w:lang w:eastAsia="es-ES"/>
        </w:rPr>
        <w:t>correspondientes al último año  mencionado (Enero- Diciembre 2016).</w:t>
      </w:r>
      <w:r w:rsidRPr="00707F1C">
        <w:rPr>
          <w:rFonts w:ascii="Verdana" w:eastAsia="Times New Roman" w:hAnsi="Verdana" w:cs="Times New Roman"/>
          <w:sz w:val="20"/>
          <w:szCs w:val="20"/>
          <w:lang w:eastAsia="es-ES"/>
        </w:rPr>
        <w:br/>
        <w:t xml:space="preserve">- Gráfica de agua disponible-agua facturada , de la </w:t>
      </w:r>
      <w:r w:rsidRPr="00707F1C">
        <w:rPr>
          <w:rFonts w:ascii="Verdana" w:eastAsia="Times New Roman" w:hAnsi="Verdana" w:cs="Times New Roman"/>
          <w:b/>
          <w:bCs/>
          <w:sz w:val="20"/>
          <w:lang w:eastAsia="es-ES"/>
        </w:rPr>
        <w:t xml:space="preserve">Sección Tacuarembó </w:t>
      </w:r>
      <w:r w:rsidRPr="00707F1C">
        <w:rPr>
          <w:rFonts w:ascii="Verdana" w:eastAsia="Times New Roman" w:hAnsi="Verdana" w:cs="Times New Roman"/>
          <w:sz w:val="20"/>
          <w:szCs w:val="20"/>
          <w:lang w:eastAsia="es-ES"/>
        </w:rPr>
        <w:t>, correspondientes al último año móvil Mayo - Abril 2017.</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-Gráfica de agua disponible-agua facturada , del </w:t>
      </w:r>
      <w:r w:rsidRPr="00707F1C">
        <w:rPr>
          <w:rFonts w:ascii="Verdana" w:eastAsia="Times New Roman" w:hAnsi="Verdana" w:cs="Times New Roman"/>
          <w:b/>
          <w:bCs/>
          <w:sz w:val="20"/>
          <w:lang w:eastAsia="es-ES"/>
        </w:rPr>
        <w:t>Servicio Tacuarembó ,</w:t>
      </w:r>
      <w:r w:rsidRPr="00707F1C">
        <w:rPr>
          <w:rFonts w:ascii="Verdana" w:eastAsia="Times New Roman" w:hAnsi="Verdana" w:cs="Times New Roman"/>
          <w:sz w:val="20"/>
          <w:szCs w:val="20"/>
          <w:lang w:eastAsia="es-ES"/>
        </w:rPr>
        <w:t xml:space="preserve"> correspondientes al último año móvil Mayo 2016 - Abril 2017.</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b/>
          <w:bCs/>
          <w:sz w:val="20"/>
          <w:u w:val="single"/>
          <w:lang w:eastAsia="es-ES"/>
        </w:rPr>
        <w:t>Atlántida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xml:space="preserve">- Captura de pantalla del Programa PBA en la </w:t>
      </w:r>
      <w:r w:rsidRPr="00707F1C">
        <w:rPr>
          <w:rFonts w:ascii="Verdana" w:eastAsia="Times New Roman" w:hAnsi="Verdana" w:cs="Times New Roman"/>
          <w:sz w:val="20"/>
          <w:szCs w:val="20"/>
          <w:u w:val="single"/>
          <w:lang w:eastAsia="es-ES"/>
        </w:rPr>
        <w:t>que se destaca la fecha hasta cuando el Programa Balance de Agua tiene carga de facturación completa</w:t>
      </w:r>
      <w:r w:rsidRPr="00707F1C">
        <w:rPr>
          <w:rFonts w:ascii="Verdana" w:eastAsia="Times New Roman" w:hAnsi="Verdana" w:cs="Times New Roman"/>
          <w:sz w:val="20"/>
          <w:szCs w:val="20"/>
          <w:lang w:eastAsia="es-ES"/>
        </w:rPr>
        <w:t xml:space="preserve"> (en este caso Abril 2017 ) y el Servicio Sistema Atlántida con sus Sectores.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xml:space="preserve">- Cuadro de Balance de Agua común y Cuadro de Balance Desglosado de la </w:t>
      </w:r>
      <w:r w:rsidRPr="00707F1C">
        <w:rPr>
          <w:rFonts w:ascii="Verdana" w:eastAsia="Times New Roman" w:hAnsi="Verdana" w:cs="Times New Roman"/>
          <w:b/>
          <w:bCs/>
          <w:sz w:val="20"/>
          <w:lang w:eastAsia="es-ES"/>
        </w:rPr>
        <w:t>Sección Atlántida </w:t>
      </w:r>
      <w:r w:rsidRPr="00707F1C">
        <w:rPr>
          <w:rFonts w:ascii="Verdana" w:eastAsia="Times New Roman" w:hAnsi="Verdana" w:cs="Times New Roman"/>
          <w:sz w:val="20"/>
          <w:szCs w:val="20"/>
          <w:lang w:eastAsia="es-ES"/>
        </w:rPr>
        <w:t>(que incluye todos los Servicios de la Sección Atlántida,correspondientes al último año móvil Mayo 2016- Abril  2017  (</w:t>
      </w:r>
      <w:r w:rsidRPr="00707F1C">
        <w:rPr>
          <w:rFonts w:ascii="Verdana" w:eastAsia="Times New Roman" w:hAnsi="Verdana" w:cs="Times New Roman"/>
          <w:sz w:val="20"/>
          <w:szCs w:val="20"/>
          <w:u w:val="single"/>
          <w:lang w:eastAsia="es-ES"/>
        </w:rPr>
        <w:t>en los cuadros desglosado se discrimina el agua facturada en: domiciliaria, gobierno, comercio, etc</w:t>
      </w:r>
      <w:r w:rsidRPr="00707F1C">
        <w:rPr>
          <w:rFonts w:ascii="Verdana" w:eastAsia="Times New Roman" w:hAnsi="Verdana" w:cs="Times New Roman"/>
          <w:sz w:val="20"/>
          <w:szCs w:val="20"/>
          <w:lang w:eastAsia="es-ES"/>
        </w:rPr>
        <w:t xml:space="preserve">.).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xml:space="preserve">- Cuadros de Balance común y desglosado del </w:t>
      </w:r>
      <w:r w:rsidRPr="00707F1C">
        <w:rPr>
          <w:rFonts w:ascii="Verdana" w:eastAsia="Times New Roman" w:hAnsi="Verdana" w:cs="Times New Roman"/>
          <w:b/>
          <w:bCs/>
          <w:sz w:val="20"/>
          <w:lang w:eastAsia="es-ES"/>
        </w:rPr>
        <w:t>Servicio Sistema Atlántida </w:t>
      </w:r>
      <w:r w:rsidRPr="00707F1C">
        <w:rPr>
          <w:rFonts w:ascii="Verdana" w:eastAsia="Times New Roman" w:hAnsi="Verdana" w:cs="Times New Roman"/>
          <w:sz w:val="20"/>
          <w:szCs w:val="20"/>
          <w:lang w:eastAsia="es-ES"/>
        </w:rPr>
        <w:t>(que incluye a todos los Sectores del Sistema Atlántida )</w:t>
      </w:r>
      <w:r w:rsidRPr="00707F1C">
        <w:rPr>
          <w:rFonts w:ascii="Verdana" w:eastAsia="Times New Roman" w:hAnsi="Verdana" w:cs="Times New Roman"/>
          <w:b/>
          <w:bCs/>
          <w:sz w:val="20"/>
          <w:lang w:eastAsia="es-ES"/>
        </w:rPr>
        <w:t xml:space="preserve">  </w:t>
      </w:r>
      <w:r w:rsidRPr="00707F1C">
        <w:rPr>
          <w:rFonts w:ascii="Verdana" w:eastAsia="Times New Roman" w:hAnsi="Verdana" w:cs="Times New Roman"/>
          <w:sz w:val="20"/>
          <w:szCs w:val="20"/>
          <w:lang w:eastAsia="es-ES"/>
        </w:rPr>
        <w:t>correspondientes al último año  mencionado (Enero- Diciembre 2016).</w:t>
      </w:r>
      <w:r w:rsidRPr="00707F1C">
        <w:rPr>
          <w:rFonts w:ascii="Verdana" w:eastAsia="Times New Roman" w:hAnsi="Verdana" w:cs="Times New Roman"/>
          <w:sz w:val="20"/>
          <w:szCs w:val="20"/>
          <w:lang w:eastAsia="es-ES"/>
        </w:rPr>
        <w:br/>
        <w:t xml:space="preserve">- Gráfica de agua disponible-agua facturada , de la </w:t>
      </w:r>
      <w:r w:rsidRPr="00707F1C">
        <w:rPr>
          <w:rFonts w:ascii="Verdana" w:eastAsia="Times New Roman" w:hAnsi="Verdana" w:cs="Times New Roman"/>
          <w:b/>
          <w:bCs/>
          <w:sz w:val="20"/>
          <w:lang w:eastAsia="es-ES"/>
        </w:rPr>
        <w:t>Sección Atlántida </w:t>
      </w:r>
      <w:r w:rsidRPr="00707F1C">
        <w:rPr>
          <w:rFonts w:ascii="Verdana" w:eastAsia="Times New Roman" w:hAnsi="Verdana" w:cs="Times New Roman"/>
          <w:sz w:val="20"/>
          <w:szCs w:val="20"/>
          <w:lang w:eastAsia="es-ES"/>
        </w:rPr>
        <w:t>, correspondientes al último año móvil Mayo - Abril 2017.</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-Gráfica de agua disponible-agua facturada , del </w:t>
      </w:r>
      <w:r w:rsidRPr="00707F1C">
        <w:rPr>
          <w:rFonts w:ascii="Verdana" w:eastAsia="Times New Roman" w:hAnsi="Verdana" w:cs="Times New Roman"/>
          <w:b/>
          <w:bCs/>
          <w:sz w:val="20"/>
          <w:lang w:eastAsia="es-ES"/>
        </w:rPr>
        <w:t>Servicio Sistema Atlántida ,</w:t>
      </w:r>
      <w:r w:rsidRPr="00707F1C">
        <w:rPr>
          <w:rFonts w:ascii="Verdana" w:eastAsia="Times New Roman" w:hAnsi="Verdana" w:cs="Times New Roman"/>
          <w:sz w:val="20"/>
          <w:szCs w:val="20"/>
          <w:lang w:eastAsia="es-ES"/>
        </w:rPr>
        <w:t xml:space="preserve"> correspondientes al último año móvil Mayo 2016 - Abril 2017.</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b/>
          <w:bCs/>
          <w:sz w:val="20"/>
          <w:u w:val="single"/>
          <w:lang w:eastAsia="es-ES"/>
        </w:rPr>
        <w:t>Rocha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xml:space="preserve">- Captura de pantalla del Programa PBA en la </w:t>
      </w:r>
      <w:r w:rsidRPr="00707F1C">
        <w:rPr>
          <w:rFonts w:ascii="Verdana" w:eastAsia="Times New Roman" w:hAnsi="Verdana" w:cs="Times New Roman"/>
          <w:sz w:val="20"/>
          <w:szCs w:val="20"/>
          <w:u w:val="single"/>
          <w:lang w:eastAsia="es-ES"/>
        </w:rPr>
        <w:t>que se destaca la fecha hasta cuando el Programa Balance de Agua tiene carga de facturación completa</w:t>
      </w:r>
      <w:r w:rsidRPr="00707F1C">
        <w:rPr>
          <w:rFonts w:ascii="Verdana" w:eastAsia="Times New Roman" w:hAnsi="Verdana" w:cs="Times New Roman"/>
          <w:sz w:val="20"/>
          <w:szCs w:val="20"/>
          <w:lang w:eastAsia="es-ES"/>
        </w:rPr>
        <w:t xml:space="preserve"> (en este caso Abril 2017 ) y el Servicio Rocha con sus Sectores.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xml:space="preserve">- Cuadro de Balance de Agua común y Cuadro de Balance Desglosado de la </w:t>
      </w:r>
      <w:r w:rsidRPr="00707F1C">
        <w:rPr>
          <w:rFonts w:ascii="Verdana" w:eastAsia="Times New Roman" w:hAnsi="Verdana" w:cs="Times New Roman"/>
          <w:b/>
          <w:bCs/>
          <w:sz w:val="20"/>
          <w:lang w:eastAsia="es-ES"/>
        </w:rPr>
        <w:t>Sección Rocha </w:t>
      </w:r>
      <w:r w:rsidRPr="00707F1C">
        <w:rPr>
          <w:rFonts w:ascii="Verdana" w:eastAsia="Times New Roman" w:hAnsi="Verdana" w:cs="Times New Roman"/>
          <w:sz w:val="20"/>
          <w:szCs w:val="20"/>
          <w:lang w:eastAsia="es-ES"/>
        </w:rPr>
        <w:t>(que incluye todos los Servicios del D</w:t>
      </w:r>
      <w:r w:rsidR="00A53ECE">
        <w:rPr>
          <w:rFonts w:ascii="Verdana" w:eastAsia="Times New Roman" w:hAnsi="Verdana" w:cs="Times New Roman"/>
          <w:sz w:val="20"/>
          <w:szCs w:val="20"/>
          <w:lang w:eastAsia="es-ES"/>
        </w:rPr>
        <w:t>p</w:t>
      </w:r>
      <w:r w:rsidRPr="00707F1C">
        <w:rPr>
          <w:rFonts w:ascii="Verdana" w:eastAsia="Times New Roman" w:hAnsi="Verdana" w:cs="Times New Roman"/>
          <w:sz w:val="20"/>
          <w:szCs w:val="20"/>
          <w:lang w:eastAsia="es-ES"/>
        </w:rPr>
        <w:t>to de Rocha),correspondientes al último año móvil Mayo 2016- Abril  2017  (</w:t>
      </w:r>
      <w:r w:rsidRPr="00707F1C">
        <w:rPr>
          <w:rFonts w:ascii="Verdana" w:eastAsia="Times New Roman" w:hAnsi="Verdana" w:cs="Times New Roman"/>
          <w:sz w:val="20"/>
          <w:szCs w:val="20"/>
          <w:u w:val="single"/>
          <w:lang w:eastAsia="es-ES"/>
        </w:rPr>
        <w:t>en los cuadros desglosado se discrimina el agua facturada en: domiciliaria, gobierno, comercio, etc</w:t>
      </w:r>
      <w:r w:rsidRPr="00707F1C">
        <w:rPr>
          <w:rFonts w:ascii="Verdana" w:eastAsia="Times New Roman" w:hAnsi="Verdana" w:cs="Times New Roman"/>
          <w:sz w:val="20"/>
          <w:szCs w:val="20"/>
          <w:lang w:eastAsia="es-ES"/>
        </w:rPr>
        <w:t xml:space="preserve">.). </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xml:space="preserve">- Cuadros de Balance común y desglosado del </w:t>
      </w:r>
      <w:r w:rsidRPr="00707F1C">
        <w:rPr>
          <w:rFonts w:ascii="Verdana" w:eastAsia="Times New Roman" w:hAnsi="Verdana" w:cs="Times New Roman"/>
          <w:b/>
          <w:bCs/>
          <w:sz w:val="20"/>
          <w:lang w:eastAsia="es-ES"/>
        </w:rPr>
        <w:t>Servicio Rocha </w:t>
      </w:r>
      <w:r w:rsidRPr="00707F1C">
        <w:rPr>
          <w:rFonts w:ascii="Verdana" w:eastAsia="Times New Roman" w:hAnsi="Verdana" w:cs="Times New Roman"/>
          <w:sz w:val="20"/>
          <w:szCs w:val="20"/>
          <w:lang w:eastAsia="es-ES"/>
        </w:rPr>
        <w:t>(que incluye a todos los Sectores de la ciudad de Rocha )</w:t>
      </w:r>
      <w:r w:rsidRPr="00707F1C">
        <w:rPr>
          <w:rFonts w:ascii="Verdana" w:eastAsia="Times New Roman" w:hAnsi="Verdana" w:cs="Times New Roman"/>
          <w:b/>
          <w:bCs/>
          <w:sz w:val="20"/>
          <w:lang w:eastAsia="es-ES"/>
        </w:rPr>
        <w:t xml:space="preserve">  </w:t>
      </w:r>
      <w:r w:rsidRPr="00707F1C">
        <w:rPr>
          <w:rFonts w:ascii="Verdana" w:eastAsia="Times New Roman" w:hAnsi="Verdana" w:cs="Times New Roman"/>
          <w:sz w:val="20"/>
          <w:szCs w:val="20"/>
          <w:lang w:eastAsia="es-ES"/>
        </w:rPr>
        <w:t>correspondientes al último año  mencionado (Enero- Diciembre 2016).</w:t>
      </w:r>
      <w:r w:rsidRPr="00707F1C">
        <w:rPr>
          <w:rFonts w:ascii="Verdana" w:eastAsia="Times New Roman" w:hAnsi="Verdana" w:cs="Times New Roman"/>
          <w:sz w:val="20"/>
          <w:szCs w:val="20"/>
          <w:lang w:eastAsia="es-ES"/>
        </w:rPr>
        <w:br/>
        <w:t xml:space="preserve">- Gráfica de agua disponible-agua facturada , de la </w:t>
      </w:r>
      <w:r w:rsidRPr="00707F1C">
        <w:rPr>
          <w:rFonts w:ascii="Verdana" w:eastAsia="Times New Roman" w:hAnsi="Verdana" w:cs="Times New Roman"/>
          <w:b/>
          <w:bCs/>
          <w:sz w:val="20"/>
          <w:lang w:eastAsia="es-ES"/>
        </w:rPr>
        <w:t>Sección Rocha </w:t>
      </w:r>
      <w:r w:rsidRPr="00707F1C">
        <w:rPr>
          <w:rFonts w:ascii="Verdana" w:eastAsia="Times New Roman" w:hAnsi="Verdana" w:cs="Times New Roman"/>
          <w:sz w:val="20"/>
          <w:szCs w:val="20"/>
          <w:lang w:eastAsia="es-ES"/>
        </w:rPr>
        <w:t>, correspondientes al último año móvil Mayo - Abril 2017.</w:t>
      </w:r>
    </w:p>
    <w:p w:rsidR="00707F1C" w:rsidRPr="00707F1C" w:rsidRDefault="00707F1C" w:rsidP="00707F1C">
      <w:pPr>
        <w:spacing w:after="0" w:line="240" w:lineRule="auto"/>
        <w:jc w:val="both"/>
        <w:rPr>
          <w:rFonts w:ascii="Verdana" w:eastAsia="Times New Roman" w:hAnsi="Verdana" w:cs="Times New Roman"/>
          <w:sz w:val="20"/>
          <w:szCs w:val="20"/>
          <w:lang w:eastAsia="es-ES"/>
        </w:rPr>
      </w:pPr>
      <w:r w:rsidRPr="00707F1C">
        <w:rPr>
          <w:rFonts w:ascii="Verdana" w:eastAsia="Times New Roman" w:hAnsi="Verdana" w:cs="Times New Roman"/>
          <w:sz w:val="20"/>
          <w:szCs w:val="20"/>
          <w:lang w:eastAsia="es-ES"/>
        </w:rPr>
        <w:t> -Gráfica de agua disponible-agua facturada , del </w:t>
      </w:r>
      <w:r w:rsidRPr="00707F1C">
        <w:rPr>
          <w:rFonts w:ascii="Verdana" w:eastAsia="Times New Roman" w:hAnsi="Verdana" w:cs="Times New Roman"/>
          <w:b/>
          <w:bCs/>
          <w:sz w:val="20"/>
          <w:lang w:eastAsia="es-ES"/>
        </w:rPr>
        <w:t>Servicio Rocha ,</w:t>
      </w:r>
      <w:r w:rsidRPr="00707F1C">
        <w:rPr>
          <w:rFonts w:ascii="Verdana" w:eastAsia="Times New Roman" w:hAnsi="Verdana" w:cs="Times New Roman"/>
          <w:sz w:val="20"/>
          <w:szCs w:val="20"/>
          <w:lang w:eastAsia="es-ES"/>
        </w:rPr>
        <w:t xml:space="preserve"> correspondientes al último año móvil Mayo 2016 - Abril 2017.</w:t>
      </w:r>
    </w:p>
    <w:p w:rsidR="000563C4" w:rsidRDefault="000563C4" w:rsidP="00707F1C">
      <w:pPr>
        <w:jc w:val="both"/>
      </w:pPr>
    </w:p>
    <w:sectPr w:rsidR="000563C4" w:rsidSect="000563C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707F1C"/>
    <w:rsid w:val="000563C4"/>
    <w:rsid w:val="00450C81"/>
    <w:rsid w:val="00707F1C"/>
    <w:rsid w:val="007B43F9"/>
    <w:rsid w:val="00A53ECE"/>
    <w:rsid w:val="00B13876"/>
    <w:rsid w:val="00B37756"/>
    <w:rsid w:val="00E2046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3C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707F1C"/>
    <w:rPr>
      <w:b/>
      <w:bCs/>
    </w:rPr>
  </w:style>
</w:styles>
</file>

<file path=word/webSettings.xml><?xml version="1.0" encoding="utf-8"?>
<w:webSettings xmlns:r="http://schemas.openxmlformats.org/officeDocument/2006/relationships" xmlns:w="http://schemas.openxmlformats.org/wordprocessingml/2006/main">
  <w:divs>
    <w:div w:id="521822204">
      <w:bodyDiv w:val="1"/>
      <w:marLeft w:val="0"/>
      <w:marRight w:val="0"/>
      <w:marTop w:val="0"/>
      <w:marBottom w:val="0"/>
      <w:divBdr>
        <w:top w:val="none" w:sz="0" w:space="0" w:color="auto"/>
        <w:left w:val="none" w:sz="0" w:space="0" w:color="auto"/>
        <w:bottom w:val="none" w:sz="0" w:space="0" w:color="auto"/>
        <w:right w:val="none" w:sz="0" w:space="0" w:color="auto"/>
      </w:divBdr>
      <w:divsChild>
        <w:div w:id="1473401779">
          <w:marLeft w:val="0"/>
          <w:marRight w:val="0"/>
          <w:marTop w:val="0"/>
          <w:marBottom w:val="0"/>
          <w:divBdr>
            <w:top w:val="none" w:sz="0" w:space="0" w:color="auto"/>
            <w:left w:val="none" w:sz="0" w:space="0" w:color="auto"/>
            <w:bottom w:val="none" w:sz="0" w:space="0" w:color="auto"/>
            <w:right w:val="none" w:sz="0" w:space="0" w:color="auto"/>
          </w:divBdr>
          <w:divsChild>
            <w:div w:id="1483813340">
              <w:marLeft w:val="0"/>
              <w:marRight w:val="0"/>
              <w:marTop w:val="0"/>
              <w:marBottom w:val="0"/>
              <w:divBdr>
                <w:top w:val="none" w:sz="0" w:space="0" w:color="auto"/>
                <w:left w:val="none" w:sz="0" w:space="0" w:color="auto"/>
                <w:bottom w:val="none" w:sz="0" w:space="0" w:color="auto"/>
                <w:right w:val="none" w:sz="0" w:space="0" w:color="auto"/>
              </w:divBdr>
            </w:div>
            <w:div w:id="1339381989">
              <w:marLeft w:val="0"/>
              <w:marRight w:val="0"/>
              <w:marTop w:val="0"/>
              <w:marBottom w:val="0"/>
              <w:divBdr>
                <w:top w:val="none" w:sz="0" w:space="0" w:color="auto"/>
                <w:left w:val="none" w:sz="0" w:space="0" w:color="auto"/>
                <w:bottom w:val="none" w:sz="0" w:space="0" w:color="auto"/>
                <w:right w:val="none" w:sz="0" w:space="0" w:color="auto"/>
              </w:divBdr>
            </w:div>
            <w:div w:id="1768505053">
              <w:marLeft w:val="0"/>
              <w:marRight w:val="0"/>
              <w:marTop w:val="0"/>
              <w:marBottom w:val="0"/>
              <w:divBdr>
                <w:top w:val="none" w:sz="0" w:space="0" w:color="auto"/>
                <w:left w:val="none" w:sz="0" w:space="0" w:color="auto"/>
                <w:bottom w:val="none" w:sz="0" w:space="0" w:color="auto"/>
                <w:right w:val="none" w:sz="0" w:space="0" w:color="auto"/>
              </w:divBdr>
            </w:div>
            <w:div w:id="1060401530">
              <w:marLeft w:val="0"/>
              <w:marRight w:val="0"/>
              <w:marTop w:val="0"/>
              <w:marBottom w:val="0"/>
              <w:divBdr>
                <w:top w:val="none" w:sz="0" w:space="0" w:color="auto"/>
                <w:left w:val="none" w:sz="0" w:space="0" w:color="auto"/>
                <w:bottom w:val="none" w:sz="0" w:space="0" w:color="auto"/>
                <w:right w:val="none" w:sz="0" w:space="0" w:color="auto"/>
              </w:divBdr>
            </w:div>
            <w:div w:id="1948272069">
              <w:marLeft w:val="0"/>
              <w:marRight w:val="0"/>
              <w:marTop w:val="0"/>
              <w:marBottom w:val="0"/>
              <w:divBdr>
                <w:top w:val="none" w:sz="0" w:space="0" w:color="auto"/>
                <w:left w:val="none" w:sz="0" w:space="0" w:color="auto"/>
                <w:bottom w:val="none" w:sz="0" w:space="0" w:color="auto"/>
                <w:right w:val="none" w:sz="0" w:space="0" w:color="auto"/>
              </w:divBdr>
            </w:div>
            <w:div w:id="1714689108">
              <w:marLeft w:val="0"/>
              <w:marRight w:val="0"/>
              <w:marTop w:val="0"/>
              <w:marBottom w:val="0"/>
              <w:divBdr>
                <w:top w:val="none" w:sz="0" w:space="0" w:color="auto"/>
                <w:left w:val="none" w:sz="0" w:space="0" w:color="auto"/>
                <w:bottom w:val="none" w:sz="0" w:space="0" w:color="auto"/>
                <w:right w:val="none" w:sz="0" w:space="0" w:color="auto"/>
              </w:divBdr>
              <w:divsChild>
                <w:div w:id="605697444">
                  <w:marLeft w:val="0"/>
                  <w:marRight w:val="0"/>
                  <w:marTop w:val="0"/>
                  <w:marBottom w:val="0"/>
                  <w:divBdr>
                    <w:top w:val="none" w:sz="0" w:space="0" w:color="auto"/>
                    <w:left w:val="none" w:sz="0" w:space="0" w:color="auto"/>
                    <w:bottom w:val="none" w:sz="0" w:space="0" w:color="auto"/>
                    <w:right w:val="none" w:sz="0" w:space="0" w:color="auto"/>
                  </w:divBdr>
                </w:div>
                <w:div w:id="1914924089">
                  <w:marLeft w:val="0"/>
                  <w:marRight w:val="0"/>
                  <w:marTop w:val="0"/>
                  <w:marBottom w:val="0"/>
                  <w:divBdr>
                    <w:top w:val="none" w:sz="0" w:space="0" w:color="auto"/>
                    <w:left w:val="none" w:sz="0" w:space="0" w:color="auto"/>
                    <w:bottom w:val="none" w:sz="0" w:space="0" w:color="auto"/>
                    <w:right w:val="none" w:sz="0" w:space="0" w:color="auto"/>
                  </w:divBdr>
                </w:div>
                <w:div w:id="1932003760">
                  <w:marLeft w:val="0"/>
                  <w:marRight w:val="0"/>
                  <w:marTop w:val="0"/>
                  <w:marBottom w:val="0"/>
                  <w:divBdr>
                    <w:top w:val="none" w:sz="0" w:space="0" w:color="auto"/>
                    <w:left w:val="none" w:sz="0" w:space="0" w:color="auto"/>
                    <w:bottom w:val="none" w:sz="0" w:space="0" w:color="auto"/>
                    <w:right w:val="none" w:sz="0" w:space="0" w:color="auto"/>
                  </w:divBdr>
                </w:div>
                <w:div w:id="868026493">
                  <w:marLeft w:val="0"/>
                  <w:marRight w:val="0"/>
                  <w:marTop w:val="0"/>
                  <w:marBottom w:val="0"/>
                  <w:divBdr>
                    <w:top w:val="none" w:sz="0" w:space="0" w:color="auto"/>
                    <w:left w:val="none" w:sz="0" w:space="0" w:color="auto"/>
                    <w:bottom w:val="none" w:sz="0" w:space="0" w:color="auto"/>
                    <w:right w:val="none" w:sz="0" w:space="0" w:color="auto"/>
                  </w:divBdr>
                </w:div>
                <w:div w:id="1012073000">
                  <w:marLeft w:val="0"/>
                  <w:marRight w:val="0"/>
                  <w:marTop w:val="0"/>
                  <w:marBottom w:val="0"/>
                  <w:divBdr>
                    <w:top w:val="none" w:sz="0" w:space="0" w:color="auto"/>
                    <w:left w:val="none" w:sz="0" w:space="0" w:color="auto"/>
                    <w:bottom w:val="none" w:sz="0" w:space="0" w:color="auto"/>
                    <w:right w:val="none" w:sz="0" w:space="0" w:color="auto"/>
                  </w:divBdr>
                </w:div>
                <w:div w:id="790786036">
                  <w:marLeft w:val="0"/>
                  <w:marRight w:val="0"/>
                  <w:marTop w:val="0"/>
                  <w:marBottom w:val="0"/>
                  <w:divBdr>
                    <w:top w:val="none" w:sz="0" w:space="0" w:color="auto"/>
                    <w:left w:val="none" w:sz="0" w:space="0" w:color="auto"/>
                    <w:bottom w:val="none" w:sz="0" w:space="0" w:color="auto"/>
                    <w:right w:val="none" w:sz="0" w:space="0" w:color="auto"/>
                  </w:divBdr>
                </w:div>
                <w:div w:id="2129161839">
                  <w:marLeft w:val="0"/>
                  <w:marRight w:val="0"/>
                  <w:marTop w:val="0"/>
                  <w:marBottom w:val="0"/>
                  <w:divBdr>
                    <w:top w:val="none" w:sz="0" w:space="0" w:color="auto"/>
                    <w:left w:val="none" w:sz="0" w:space="0" w:color="auto"/>
                    <w:bottom w:val="none" w:sz="0" w:space="0" w:color="auto"/>
                    <w:right w:val="none" w:sz="0" w:space="0" w:color="auto"/>
                  </w:divBdr>
                </w:div>
                <w:div w:id="1356887636">
                  <w:marLeft w:val="0"/>
                  <w:marRight w:val="0"/>
                  <w:marTop w:val="0"/>
                  <w:marBottom w:val="0"/>
                  <w:divBdr>
                    <w:top w:val="none" w:sz="0" w:space="0" w:color="auto"/>
                    <w:left w:val="none" w:sz="0" w:space="0" w:color="auto"/>
                    <w:bottom w:val="none" w:sz="0" w:space="0" w:color="auto"/>
                    <w:right w:val="none" w:sz="0" w:space="0" w:color="auto"/>
                  </w:divBdr>
                </w:div>
                <w:div w:id="448672613">
                  <w:marLeft w:val="0"/>
                  <w:marRight w:val="0"/>
                  <w:marTop w:val="0"/>
                  <w:marBottom w:val="0"/>
                  <w:divBdr>
                    <w:top w:val="none" w:sz="0" w:space="0" w:color="auto"/>
                    <w:left w:val="none" w:sz="0" w:space="0" w:color="auto"/>
                    <w:bottom w:val="none" w:sz="0" w:space="0" w:color="auto"/>
                    <w:right w:val="none" w:sz="0" w:space="0" w:color="auto"/>
                  </w:divBdr>
                </w:div>
                <w:div w:id="913129204">
                  <w:marLeft w:val="0"/>
                  <w:marRight w:val="0"/>
                  <w:marTop w:val="0"/>
                  <w:marBottom w:val="0"/>
                  <w:divBdr>
                    <w:top w:val="none" w:sz="0" w:space="0" w:color="auto"/>
                    <w:left w:val="none" w:sz="0" w:space="0" w:color="auto"/>
                    <w:bottom w:val="none" w:sz="0" w:space="0" w:color="auto"/>
                    <w:right w:val="none" w:sz="0" w:space="0" w:color="auto"/>
                  </w:divBdr>
                </w:div>
                <w:div w:id="729039358">
                  <w:marLeft w:val="0"/>
                  <w:marRight w:val="0"/>
                  <w:marTop w:val="0"/>
                  <w:marBottom w:val="0"/>
                  <w:divBdr>
                    <w:top w:val="none" w:sz="0" w:space="0" w:color="auto"/>
                    <w:left w:val="none" w:sz="0" w:space="0" w:color="auto"/>
                    <w:bottom w:val="none" w:sz="0" w:space="0" w:color="auto"/>
                    <w:right w:val="none" w:sz="0" w:space="0" w:color="auto"/>
                  </w:divBdr>
                </w:div>
                <w:div w:id="1021397942">
                  <w:marLeft w:val="0"/>
                  <w:marRight w:val="0"/>
                  <w:marTop w:val="0"/>
                  <w:marBottom w:val="0"/>
                  <w:divBdr>
                    <w:top w:val="none" w:sz="0" w:space="0" w:color="auto"/>
                    <w:left w:val="none" w:sz="0" w:space="0" w:color="auto"/>
                    <w:bottom w:val="none" w:sz="0" w:space="0" w:color="auto"/>
                    <w:right w:val="none" w:sz="0" w:space="0" w:color="auto"/>
                  </w:divBdr>
                </w:div>
                <w:div w:id="464398380">
                  <w:marLeft w:val="0"/>
                  <w:marRight w:val="0"/>
                  <w:marTop w:val="0"/>
                  <w:marBottom w:val="0"/>
                  <w:divBdr>
                    <w:top w:val="none" w:sz="0" w:space="0" w:color="auto"/>
                    <w:left w:val="none" w:sz="0" w:space="0" w:color="auto"/>
                    <w:bottom w:val="none" w:sz="0" w:space="0" w:color="auto"/>
                    <w:right w:val="none" w:sz="0" w:space="0" w:color="auto"/>
                  </w:divBdr>
                </w:div>
                <w:div w:id="814031047">
                  <w:marLeft w:val="0"/>
                  <w:marRight w:val="0"/>
                  <w:marTop w:val="0"/>
                  <w:marBottom w:val="0"/>
                  <w:divBdr>
                    <w:top w:val="none" w:sz="0" w:space="0" w:color="auto"/>
                    <w:left w:val="none" w:sz="0" w:space="0" w:color="auto"/>
                    <w:bottom w:val="none" w:sz="0" w:space="0" w:color="auto"/>
                    <w:right w:val="none" w:sz="0" w:space="0" w:color="auto"/>
                  </w:divBdr>
                </w:div>
                <w:div w:id="123616946">
                  <w:marLeft w:val="0"/>
                  <w:marRight w:val="0"/>
                  <w:marTop w:val="0"/>
                  <w:marBottom w:val="0"/>
                  <w:divBdr>
                    <w:top w:val="none" w:sz="0" w:space="0" w:color="auto"/>
                    <w:left w:val="none" w:sz="0" w:space="0" w:color="auto"/>
                    <w:bottom w:val="none" w:sz="0" w:space="0" w:color="auto"/>
                    <w:right w:val="none" w:sz="0" w:space="0" w:color="auto"/>
                  </w:divBdr>
                </w:div>
                <w:div w:id="1077553956">
                  <w:marLeft w:val="0"/>
                  <w:marRight w:val="0"/>
                  <w:marTop w:val="0"/>
                  <w:marBottom w:val="0"/>
                  <w:divBdr>
                    <w:top w:val="none" w:sz="0" w:space="0" w:color="auto"/>
                    <w:left w:val="none" w:sz="0" w:space="0" w:color="auto"/>
                    <w:bottom w:val="none" w:sz="0" w:space="0" w:color="auto"/>
                    <w:right w:val="none" w:sz="0" w:space="0" w:color="auto"/>
                  </w:divBdr>
                </w:div>
                <w:div w:id="653602484">
                  <w:marLeft w:val="0"/>
                  <w:marRight w:val="0"/>
                  <w:marTop w:val="0"/>
                  <w:marBottom w:val="0"/>
                  <w:divBdr>
                    <w:top w:val="none" w:sz="0" w:space="0" w:color="auto"/>
                    <w:left w:val="none" w:sz="0" w:space="0" w:color="auto"/>
                    <w:bottom w:val="none" w:sz="0" w:space="0" w:color="auto"/>
                    <w:right w:val="none" w:sz="0" w:space="0" w:color="auto"/>
                  </w:divBdr>
                </w:div>
                <w:div w:id="1555119471">
                  <w:marLeft w:val="0"/>
                  <w:marRight w:val="0"/>
                  <w:marTop w:val="0"/>
                  <w:marBottom w:val="0"/>
                  <w:divBdr>
                    <w:top w:val="none" w:sz="0" w:space="0" w:color="auto"/>
                    <w:left w:val="none" w:sz="0" w:space="0" w:color="auto"/>
                    <w:bottom w:val="none" w:sz="0" w:space="0" w:color="auto"/>
                    <w:right w:val="none" w:sz="0" w:space="0" w:color="auto"/>
                  </w:divBdr>
                  <w:divsChild>
                    <w:div w:id="1206527688">
                      <w:marLeft w:val="0"/>
                      <w:marRight w:val="0"/>
                      <w:marTop w:val="0"/>
                      <w:marBottom w:val="0"/>
                      <w:divBdr>
                        <w:top w:val="none" w:sz="0" w:space="0" w:color="auto"/>
                        <w:left w:val="none" w:sz="0" w:space="0" w:color="auto"/>
                        <w:bottom w:val="none" w:sz="0" w:space="0" w:color="auto"/>
                        <w:right w:val="none" w:sz="0" w:space="0" w:color="auto"/>
                      </w:divBdr>
                    </w:div>
                    <w:div w:id="1516769565">
                      <w:marLeft w:val="0"/>
                      <w:marRight w:val="0"/>
                      <w:marTop w:val="0"/>
                      <w:marBottom w:val="0"/>
                      <w:divBdr>
                        <w:top w:val="none" w:sz="0" w:space="0" w:color="auto"/>
                        <w:left w:val="none" w:sz="0" w:space="0" w:color="auto"/>
                        <w:bottom w:val="none" w:sz="0" w:space="0" w:color="auto"/>
                        <w:right w:val="none" w:sz="0" w:space="0" w:color="auto"/>
                      </w:divBdr>
                    </w:div>
                    <w:div w:id="412092716">
                      <w:marLeft w:val="0"/>
                      <w:marRight w:val="0"/>
                      <w:marTop w:val="0"/>
                      <w:marBottom w:val="0"/>
                      <w:divBdr>
                        <w:top w:val="none" w:sz="0" w:space="0" w:color="auto"/>
                        <w:left w:val="none" w:sz="0" w:space="0" w:color="auto"/>
                        <w:bottom w:val="none" w:sz="0" w:space="0" w:color="auto"/>
                        <w:right w:val="none" w:sz="0" w:space="0" w:color="auto"/>
                      </w:divBdr>
                    </w:div>
                    <w:div w:id="1634869958">
                      <w:marLeft w:val="0"/>
                      <w:marRight w:val="0"/>
                      <w:marTop w:val="0"/>
                      <w:marBottom w:val="0"/>
                      <w:divBdr>
                        <w:top w:val="none" w:sz="0" w:space="0" w:color="auto"/>
                        <w:left w:val="none" w:sz="0" w:space="0" w:color="auto"/>
                        <w:bottom w:val="none" w:sz="0" w:space="0" w:color="auto"/>
                        <w:right w:val="none" w:sz="0" w:space="0" w:color="auto"/>
                      </w:divBdr>
                    </w:div>
                    <w:div w:id="24465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03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984</Words>
  <Characters>5415</Characters>
  <Application>Microsoft Office Word</Application>
  <DocSecurity>0</DocSecurity>
  <Lines>45</Lines>
  <Paragraphs>12</Paragraphs>
  <ScaleCrop>false</ScaleCrop>
  <Company>OSE</Company>
  <LinksUpToDate>false</LinksUpToDate>
  <CharactersWithSpaces>6387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ose</dc:creator>
  <cp:keywords/>
  <dc:description/>
  <cp:lastModifiedBy>ose</cp:lastModifiedBy>
  <cp:revision>4</cp:revision>
  <dcterms:created xsi:type="dcterms:W3CDTF">2017-07-24T14:36:00Z</dcterms:created>
  <dcterms:modified xsi:type="dcterms:W3CDTF">2017-07-26T13:39:00Z</dcterms:modified>
</cp:coreProperties>
</file>